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2407" w14:textId="78928863" w:rsidR="00E66B7E" w:rsidRPr="00E66B7E" w:rsidRDefault="00E66B7E" w:rsidP="00E66B7E">
      <w:pPr>
        <w:spacing w:after="0" w:line="240" w:lineRule="auto"/>
        <w:rPr>
          <w:b/>
          <w:bCs/>
          <w:color w:val="416093"/>
          <w:sz w:val="52"/>
          <w:szCs w:val="52"/>
          <w:lang w:val="en-CA"/>
        </w:rPr>
      </w:pPr>
      <w:bookmarkStart w:id="0" w:name="_Hlk129249095"/>
      <w:r w:rsidRPr="00E66B7E">
        <w:rPr>
          <w:b/>
          <w:bCs/>
          <w:color w:val="416093"/>
          <w:sz w:val="52"/>
          <w:szCs w:val="52"/>
          <w:lang w:val="en-CA"/>
        </w:rPr>
        <w:t>Understanding the German International Abitur</w:t>
      </w:r>
    </w:p>
    <w:p w14:paraId="03D77658" w14:textId="30009620" w:rsidR="000E2BFA" w:rsidRDefault="004A6E2B" w:rsidP="00E66B7E">
      <w:pPr>
        <w:spacing w:after="0" w:line="240" w:lineRule="auto"/>
        <w:rPr>
          <w:b/>
          <w:bCs/>
          <w:color w:val="416093"/>
          <w:sz w:val="40"/>
          <w:szCs w:val="40"/>
          <w:lang w:val="en-CA"/>
        </w:rPr>
      </w:pPr>
      <w:r>
        <w:rPr>
          <w:noProof/>
          <w:lang w:val="en-CA"/>
        </w:rPr>
        <w:drawing>
          <wp:anchor distT="0" distB="0" distL="114300" distR="114300" simplePos="0" relativeHeight="251666432" behindDoc="1" locked="0" layoutInCell="1" allowOverlap="1" wp14:anchorId="6A46E8EF" wp14:editId="4499BF8F">
            <wp:simplePos x="0" y="0"/>
            <wp:positionH relativeFrom="margin">
              <wp:posOffset>3908425</wp:posOffset>
            </wp:positionH>
            <wp:positionV relativeFrom="page">
              <wp:posOffset>886460</wp:posOffset>
            </wp:positionV>
            <wp:extent cx="2760980" cy="1530985"/>
            <wp:effectExtent l="133350" t="76200" r="77470" b="126365"/>
            <wp:wrapTight wrapText="bothSides">
              <wp:wrapPolygon edited="0">
                <wp:start x="1043" y="-1075"/>
                <wp:lineTo x="-1043" y="-538"/>
                <wp:lineTo x="-1043" y="16664"/>
                <wp:lineTo x="-596" y="20964"/>
                <wp:lineTo x="596" y="22577"/>
                <wp:lineTo x="745" y="23114"/>
                <wp:lineTo x="20120" y="23114"/>
                <wp:lineTo x="20269" y="22577"/>
                <wp:lineTo x="21461" y="21233"/>
                <wp:lineTo x="21461" y="20964"/>
                <wp:lineTo x="22057" y="16932"/>
                <wp:lineTo x="22057" y="3494"/>
                <wp:lineTo x="19971" y="-538"/>
                <wp:lineTo x="19822" y="-1075"/>
                <wp:lineTo x="1043" y="-1075"/>
              </wp:wrapPolygon>
            </wp:wrapTight>
            <wp:docPr id="2" name="Picture 2" descr="A group of graduates throwing their caps in the 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graduates throwing their caps in the air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33" b="2"/>
                    <a:stretch/>
                  </pic:blipFill>
                  <pic:spPr bwMode="auto">
                    <a:xfrm>
                      <a:off x="0" y="0"/>
                      <a:ext cx="2760980" cy="15309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B7E" w:rsidRPr="00E66B7E">
        <w:rPr>
          <w:b/>
          <w:bCs/>
          <w:color w:val="416093"/>
          <w:sz w:val="40"/>
          <w:szCs w:val="40"/>
          <w:lang w:val="en-CA"/>
        </w:rPr>
        <w:t xml:space="preserve"> </w:t>
      </w:r>
      <w:r w:rsidR="0079416A">
        <w:rPr>
          <w:b/>
          <w:bCs/>
          <w:color w:val="416093"/>
          <w:sz w:val="40"/>
          <w:szCs w:val="40"/>
          <w:lang w:val="en-CA"/>
        </w:rPr>
        <w:t xml:space="preserve">Information </w:t>
      </w:r>
      <w:r w:rsidR="00E66B7E" w:rsidRPr="00E66B7E">
        <w:rPr>
          <w:b/>
          <w:bCs/>
          <w:color w:val="416093"/>
          <w:sz w:val="40"/>
          <w:szCs w:val="40"/>
          <w:lang w:val="en-CA"/>
        </w:rPr>
        <w:t>Chart</w:t>
      </w:r>
    </w:p>
    <w:p w14:paraId="055F851D" w14:textId="218C0532" w:rsidR="004A6E2B" w:rsidRDefault="004A6E2B" w:rsidP="00E66B7E">
      <w:pPr>
        <w:spacing w:after="0" w:line="240" w:lineRule="auto"/>
        <w:rPr>
          <w:b/>
          <w:bCs/>
          <w:color w:val="416093"/>
          <w:sz w:val="40"/>
          <w:szCs w:val="40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70B36" wp14:editId="76B010E2">
                <wp:simplePos x="0" y="0"/>
                <wp:positionH relativeFrom="column">
                  <wp:posOffset>62288</wp:posOffset>
                </wp:positionH>
                <wp:positionV relativeFrom="paragraph">
                  <wp:posOffset>193906</wp:posOffset>
                </wp:positionV>
                <wp:extent cx="3692236" cy="644236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236" cy="6442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06396A" w14:textId="3A8BE8EA" w:rsidR="0056632C" w:rsidRDefault="0056632C" w:rsidP="0056632C">
                            <w:pPr>
                              <w:jc w:val="both"/>
                              <w:rPr>
                                <w:lang w:val="en-CA"/>
                              </w:rPr>
                            </w:pPr>
                            <w:r w:rsidRPr="0000392E">
                              <w:rPr>
                                <w:lang w:val="en-CA"/>
                              </w:rPr>
                              <w:t>Understanding similarities between the G</w:t>
                            </w:r>
                            <w:r>
                              <w:rPr>
                                <w:lang w:val="en-CA"/>
                              </w:rPr>
                              <w:t xml:space="preserve">erman </w:t>
                            </w:r>
                            <w:r w:rsidR="00006446">
                              <w:rPr>
                                <w:lang w:val="en-CA"/>
                              </w:rPr>
                              <w:t>I</w:t>
                            </w:r>
                            <w:r>
                              <w:rPr>
                                <w:lang w:val="en-CA"/>
                              </w:rPr>
                              <w:t>nternational Abitur (DIA) and the Quebec Highschool Diploma (DES) helps making decisions about your child</w:t>
                            </w:r>
                            <w:r w:rsidR="00C82A10">
                              <w:rPr>
                                <w:lang w:val="en-CA"/>
                              </w:rPr>
                              <w:t>’s</w:t>
                            </w:r>
                            <w:r>
                              <w:rPr>
                                <w:lang w:val="en-CA"/>
                              </w:rPr>
                              <w:t xml:space="preserve"> academic future.</w:t>
                            </w:r>
                          </w:p>
                          <w:p w14:paraId="4175BC30" w14:textId="77777777" w:rsidR="0056632C" w:rsidRPr="0056632C" w:rsidRDefault="0056632C" w:rsidP="0056632C">
                            <w:pPr>
                              <w:jc w:val="both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70B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9pt;margin-top:15.25pt;width:290.75pt;height: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oyKgIAAFQEAAAOAAAAZHJzL2Uyb0RvYy54bWysVEtv2zAMvg/YfxB0X5xXs9aIU2QpMgwo&#10;2gLp0LMiS7EBSdQkJXb260fJzmPdTsMuMilSH18fPb9vtSIH4XwNpqCjwZASYTiUtdkV9Pvr+tMt&#10;JT4wUzIFRhT0KDy9X3z8MG9sLsZQgSqFIwhifN7YglYh2DzLPK+EZn4AVhg0SnCaBVTdLisdaxBd&#10;q2w8HM6yBlxpHXDhPd4+dEa6SPhSCh6epfQiEFVQzC2k06VzG89sMWf5zjFb1bxPg/1DFprVBoOe&#10;oR5YYGTv6j+gdM0deJBhwEFnIGXNRaoBqxkN31WzqZgVqRZsjrfnNvn/B8ufDhv74khov0CLA4wN&#10;aazPPV7GelrpdPxipgTt2MLjuW2iDYTj5WR2Nx5PZpRwtM2m0ygjTHZ5bZ0PXwVoEoWCOhxL6hY7&#10;PPrQuZ5cYjAPqi7XtVJJiVQQK+XIgeEQVUg5IvhvXsqQBoNPboYJ2EB83iErg7lcaopSaLdtX+gW&#10;yiPW76Cjhrd8XWOSj8yHF+aQC1gy8js84yEVYBDoJUoqcD//dh/9cURopaRBbhXU/9gzJyhR3wwO&#10;7240nUYyJmV683mMiru2bK8tZq9XgJWPcJMsT2L0D+okSgf6DddgGaOiiRmOsQsaTuIqdIzHNeJi&#10;uUxOSD/LwqPZWB6hY6fjCF7bN+ZsP6eAE36CEwtZ/m5cnW98aWC5DyDrNMvY4K6rfd+RuokN/ZrF&#10;3bjWk9flZ7D4BQAA//8DAFBLAwQUAAYACAAAACEADJd/Fd8AAAAIAQAADwAAAGRycy9kb3ducmV2&#10;LnhtbEyPzU7DMBCE70i8g7VIXBB1WitAQ5wKIX4kbjQtiJsbL0lEvI5iNwlvz3KC42hGM9/km9l1&#10;YsQhtJ40LBcJCKTK25ZqDbvy8fIGRIiGrOk8oYZvDLApTk9yk1k/0SuO21gLLqGQGQ1NjH0mZaga&#10;dCYsfI/E3qcfnIksh1rawUxc7jq5SpIr6UxLvNCYHu8brL62R6fh46J+fwnz035Sqeofnsfy+s2W&#10;Wp+fzXe3ICLO8S8Mv/iMDgUzHfyRbBCdhjWDRw0qSUGwna6XCsSBc2qVgCxy+f9A8QMAAP//AwBQ&#10;SwECLQAUAAYACAAAACEAtoM4kv4AAADhAQAAEwAAAAAAAAAAAAAAAAAAAAAAW0NvbnRlbnRfVHlw&#10;ZXNdLnhtbFBLAQItABQABgAIAAAAIQA4/SH/1gAAAJQBAAALAAAAAAAAAAAAAAAAAC8BAABfcmVs&#10;cy8ucmVsc1BLAQItABQABgAIAAAAIQAe1OoyKgIAAFQEAAAOAAAAAAAAAAAAAAAAAC4CAABkcnMv&#10;ZTJvRG9jLnhtbFBLAQItABQABgAIAAAAIQAMl38V3wAAAAgBAAAPAAAAAAAAAAAAAAAAAIQEAABk&#10;cnMvZG93bnJldi54bWxQSwUGAAAAAAQABADzAAAAkAUAAAAA&#10;" fillcolor="white [3201]" stroked="f" strokeweight=".5pt">
                <v:textbox>
                  <w:txbxContent>
                    <w:p w14:paraId="1F06396A" w14:textId="3A8BE8EA" w:rsidR="0056632C" w:rsidRDefault="0056632C" w:rsidP="0056632C">
                      <w:pPr>
                        <w:jc w:val="both"/>
                        <w:rPr>
                          <w:lang w:val="en-CA"/>
                        </w:rPr>
                      </w:pPr>
                      <w:r w:rsidRPr="0000392E">
                        <w:rPr>
                          <w:lang w:val="en-CA"/>
                        </w:rPr>
                        <w:t>Understanding similarities between the G</w:t>
                      </w:r>
                      <w:r>
                        <w:rPr>
                          <w:lang w:val="en-CA"/>
                        </w:rPr>
                        <w:t xml:space="preserve">erman </w:t>
                      </w:r>
                      <w:r w:rsidR="00006446">
                        <w:rPr>
                          <w:lang w:val="en-CA"/>
                        </w:rPr>
                        <w:t>I</w:t>
                      </w:r>
                      <w:r>
                        <w:rPr>
                          <w:lang w:val="en-CA"/>
                        </w:rPr>
                        <w:t>nternational Abitur (DIA) and the Quebec Highschool Diploma (DES) helps making decisions about your child</w:t>
                      </w:r>
                      <w:r w:rsidR="00C82A10">
                        <w:rPr>
                          <w:lang w:val="en-CA"/>
                        </w:rPr>
                        <w:t>’s</w:t>
                      </w:r>
                      <w:r>
                        <w:rPr>
                          <w:lang w:val="en-CA"/>
                        </w:rPr>
                        <w:t xml:space="preserve"> academic future.</w:t>
                      </w:r>
                    </w:p>
                    <w:p w14:paraId="4175BC30" w14:textId="77777777" w:rsidR="0056632C" w:rsidRPr="0056632C" w:rsidRDefault="0056632C" w:rsidP="0056632C">
                      <w:pPr>
                        <w:jc w:val="both"/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1A4F0D" w14:textId="3C57A853" w:rsidR="004A6E2B" w:rsidRDefault="004A6E2B" w:rsidP="00E66B7E">
      <w:pPr>
        <w:spacing w:after="0" w:line="240" w:lineRule="auto"/>
        <w:rPr>
          <w:b/>
          <w:bCs/>
          <w:color w:val="416093"/>
          <w:sz w:val="40"/>
          <w:szCs w:val="40"/>
          <w:lang w:val="en-CA"/>
        </w:rPr>
      </w:pPr>
    </w:p>
    <w:p w14:paraId="09E142B6" w14:textId="21C8E954" w:rsidR="004A6E2B" w:rsidRDefault="004A6E2B" w:rsidP="00E66B7E">
      <w:pPr>
        <w:spacing w:after="0" w:line="240" w:lineRule="auto"/>
        <w:rPr>
          <w:b/>
          <w:bCs/>
          <w:color w:val="416093"/>
          <w:sz w:val="40"/>
          <w:szCs w:val="40"/>
          <w:lang w:val="en-CA"/>
        </w:rPr>
      </w:pPr>
    </w:p>
    <w:p w14:paraId="33AC119C" w14:textId="24ED32A3" w:rsidR="004A6E2B" w:rsidRDefault="004A6E2B" w:rsidP="00E66B7E">
      <w:pPr>
        <w:spacing w:after="0" w:line="240" w:lineRule="auto"/>
        <w:rPr>
          <w:b/>
          <w:bCs/>
          <w:color w:val="416093"/>
          <w:sz w:val="40"/>
          <w:szCs w:val="40"/>
          <w:lang w:val="en-CA"/>
        </w:rPr>
      </w:pPr>
    </w:p>
    <w:p w14:paraId="3ABC4F43" w14:textId="77777777" w:rsidR="004A6E2B" w:rsidRDefault="004A6E2B" w:rsidP="00E66B7E">
      <w:pPr>
        <w:spacing w:after="0" w:line="240" w:lineRule="auto"/>
        <w:rPr>
          <w:b/>
          <w:bCs/>
          <w:color w:val="416093"/>
          <w:sz w:val="40"/>
          <w:szCs w:val="40"/>
          <w:lang w:val="en-CA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838"/>
        <w:gridCol w:w="4319"/>
        <w:gridCol w:w="4186"/>
      </w:tblGrid>
      <w:tr w:rsidR="0000392E" w14:paraId="74E702BF" w14:textId="77777777" w:rsidTr="0079416A">
        <w:trPr>
          <w:jc w:val="center"/>
        </w:trPr>
        <w:tc>
          <w:tcPr>
            <w:tcW w:w="1838" w:type="dxa"/>
          </w:tcPr>
          <w:p w14:paraId="3FD17AC6" w14:textId="605FEE6B" w:rsidR="0000392E" w:rsidRDefault="00302ED3" w:rsidP="00B7188F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</w:t>
            </w:r>
            <w:r>
              <w:rPr>
                <w:noProof/>
              </w:rPr>
              <w:drawing>
                <wp:inline distT="0" distB="0" distL="0" distR="0" wp14:anchorId="026C59CB" wp14:editId="7B0A7320">
                  <wp:extent cx="762000" cy="2561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783" cy="26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01B83" w14:textId="17D92464" w:rsidR="00302ED3" w:rsidRPr="0000392E" w:rsidRDefault="00302ED3" w:rsidP="00B7188F">
            <w:pPr>
              <w:rPr>
                <w:lang w:val="en-CA"/>
              </w:rPr>
            </w:pPr>
          </w:p>
        </w:tc>
        <w:tc>
          <w:tcPr>
            <w:tcW w:w="4319" w:type="dxa"/>
            <w:shd w:val="clear" w:color="auto" w:fill="416093"/>
            <w:vAlign w:val="center"/>
          </w:tcPr>
          <w:p w14:paraId="4DCC4123" w14:textId="306811E7" w:rsidR="0000392E" w:rsidRPr="00F348A6" w:rsidRDefault="0000392E" w:rsidP="00302ED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F348A6">
              <w:rPr>
                <w:b/>
                <w:bCs/>
                <w:color w:val="FFFFFF" w:themeColor="background1"/>
                <w:sz w:val="28"/>
                <w:szCs w:val="28"/>
              </w:rPr>
              <w:t>Quebec</w:t>
            </w:r>
            <w:proofErr w:type="spellEnd"/>
            <w:r w:rsidRPr="00F348A6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F348A6">
              <w:rPr>
                <w:b/>
                <w:bCs/>
                <w:color w:val="FFFFFF" w:themeColor="background1"/>
                <w:sz w:val="28"/>
                <w:szCs w:val="28"/>
              </w:rPr>
              <w:t>Highschool</w:t>
            </w:r>
            <w:proofErr w:type="spellEnd"/>
            <w:r w:rsidRPr="00F348A6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3118AE">
              <w:rPr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Pr="00F348A6">
              <w:rPr>
                <w:b/>
                <w:bCs/>
                <w:color w:val="FFFFFF" w:themeColor="background1"/>
                <w:sz w:val="28"/>
                <w:szCs w:val="28"/>
              </w:rPr>
              <w:t>iploma</w:t>
            </w:r>
            <w:proofErr w:type="spellEnd"/>
          </w:p>
          <w:p w14:paraId="2FEBBFAC" w14:textId="77777777" w:rsidR="0000392E" w:rsidRPr="00F348A6" w:rsidRDefault="0000392E" w:rsidP="00302ED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48A6">
              <w:rPr>
                <w:b/>
                <w:bCs/>
                <w:color w:val="FFFFFF" w:themeColor="background1"/>
                <w:sz w:val="28"/>
                <w:szCs w:val="28"/>
              </w:rPr>
              <w:t>(DES)</w:t>
            </w:r>
          </w:p>
        </w:tc>
        <w:tc>
          <w:tcPr>
            <w:tcW w:w="4186" w:type="dxa"/>
            <w:shd w:val="clear" w:color="auto" w:fill="416093"/>
            <w:vAlign w:val="center"/>
          </w:tcPr>
          <w:p w14:paraId="0224E8CE" w14:textId="5EBF8503" w:rsidR="0000392E" w:rsidRPr="00F348A6" w:rsidRDefault="0000392E" w:rsidP="00302ED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48A6">
              <w:rPr>
                <w:b/>
                <w:bCs/>
                <w:color w:val="FFFFFF" w:themeColor="background1"/>
                <w:sz w:val="28"/>
                <w:szCs w:val="28"/>
              </w:rPr>
              <w:t xml:space="preserve">German </w:t>
            </w:r>
            <w:r w:rsidR="003118AE">
              <w:rPr>
                <w:b/>
                <w:bCs/>
                <w:color w:val="FFFFFF" w:themeColor="background1"/>
                <w:sz w:val="28"/>
                <w:szCs w:val="28"/>
              </w:rPr>
              <w:t>I</w:t>
            </w:r>
            <w:r w:rsidRPr="00F348A6">
              <w:rPr>
                <w:b/>
                <w:bCs/>
                <w:color w:val="FFFFFF" w:themeColor="background1"/>
                <w:sz w:val="28"/>
                <w:szCs w:val="28"/>
              </w:rPr>
              <w:t>nternational Abitur</w:t>
            </w:r>
          </w:p>
          <w:p w14:paraId="5D03C69B" w14:textId="77777777" w:rsidR="0000392E" w:rsidRPr="00F348A6" w:rsidRDefault="0000392E" w:rsidP="00302ED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348A6">
              <w:rPr>
                <w:b/>
                <w:bCs/>
                <w:color w:val="FFFFFF" w:themeColor="background1"/>
                <w:sz w:val="28"/>
                <w:szCs w:val="28"/>
              </w:rPr>
              <w:t>(DIA)</w:t>
            </w:r>
          </w:p>
        </w:tc>
      </w:tr>
      <w:tr w:rsidR="0000392E" w:rsidRPr="00353C18" w14:paraId="025BACD1" w14:textId="77777777" w:rsidTr="006B17C7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D615372" w14:textId="7B10E0DA" w:rsidR="0000392E" w:rsidRDefault="00AC2AFC" w:rsidP="00302ED3">
            <w:pPr>
              <w:jc w:val="center"/>
            </w:pPr>
            <w:r>
              <w:t>Preparation</w:t>
            </w:r>
          </w:p>
        </w:tc>
        <w:tc>
          <w:tcPr>
            <w:tcW w:w="4319" w:type="dxa"/>
            <w:shd w:val="clear" w:color="auto" w:fill="auto"/>
          </w:tcPr>
          <w:p w14:paraId="38ED0B95" w14:textId="0A8BC868" w:rsidR="00F348A6" w:rsidRDefault="00AC2AFC" w:rsidP="0056632C">
            <w:pPr>
              <w:jc w:val="both"/>
              <w:rPr>
                <w:lang w:val="en-CA"/>
              </w:rPr>
            </w:pPr>
            <w:r w:rsidRPr="00AC2AFC">
              <w:rPr>
                <w:lang w:val="en-CA"/>
              </w:rPr>
              <w:t>Student preparation for the D</w:t>
            </w:r>
            <w:r>
              <w:rPr>
                <w:lang w:val="en-CA"/>
              </w:rPr>
              <w:t>ES starts in grade 9 with HQC</w:t>
            </w:r>
            <w:r w:rsidR="0055469F">
              <w:rPr>
                <w:lang w:val="en-CA"/>
              </w:rPr>
              <w:t>*</w:t>
            </w:r>
            <w:r>
              <w:rPr>
                <w:lang w:val="en-CA"/>
              </w:rPr>
              <w:t xml:space="preserve"> and </w:t>
            </w:r>
            <w:r w:rsidR="003118AE">
              <w:rPr>
                <w:lang w:val="en-CA"/>
              </w:rPr>
              <w:t>g</w:t>
            </w:r>
            <w:r>
              <w:rPr>
                <w:lang w:val="en-CA"/>
              </w:rPr>
              <w:t>eography</w:t>
            </w:r>
            <w:r w:rsidR="003118AE">
              <w:rPr>
                <w:lang w:val="en-CA"/>
              </w:rPr>
              <w:t>,</w:t>
            </w:r>
            <w:r>
              <w:rPr>
                <w:lang w:val="en-CA"/>
              </w:rPr>
              <w:t xml:space="preserve"> and continues in grade 10 with HQC, </w:t>
            </w:r>
            <w:r w:rsidR="00C82A10">
              <w:rPr>
                <w:lang w:val="en-CA"/>
              </w:rPr>
              <w:t>S</w:t>
            </w:r>
            <w:r>
              <w:rPr>
                <w:lang w:val="en-CA"/>
              </w:rPr>
              <w:t xml:space="preserve">cience and </w:t>
            </w:r>
            <w:r w:rsidR="00C82A10">
              <w:rPr>
                <w:lang w:val="en-CA"/>
              </w:rPr>
              <w:t>M</w:t>
            </w:r>
            <w:r>
              <w:rPr>
                <w:lang w:val="en-CA"/>
              </w:rPr>
              <w:t>aths. In grade 11, students prepare in French and English</w:t>
            </w:r>
            <w:r w:rsidR="0056632C">
              <w:rPr>
                <w:lang w:val="en-CA"/>
              </w:rPr>
              <w:t>.</w:t>
            </w:r>
          </w:p>
          <w:p w14:paraId="79CB1234" w14:textId="04B26588" w:rsidR="0055469F" w:rsidRPr="00AC2AFC" w:rsidRDefault="0055469F" w:rsidP="0056632C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*HQC: History of Quebec and Canada</w:t>
            </w:r>
          </w:p>
        </w:tc>
        <w:tc>
          <w:tcPr>
            <w:tcW w:w="4186" w:type="dxa"/>
            <w:shd w:val="clear" w:color="auto" w:fill="auto"/>
          </w:tcPr>
          <w:p w14:paraId="7E865444" w14:textId="5388F62A" w:rsidR="0000392E" w:rsidRPr="00AC2AFC" w:rsidRDefault="00AC2AFC" w:rsidP="0056632C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Preparation </w:t>
            </w:r>
            <w:r w:rsidR="003118AE">
              <w:rPr>
                <w:lang w:val="en-CA"/>
              </w:rPr>
              <w:t xml:space="preserve">for </w:t>
            </w:r>
            <w:r>
              <w:rPr>
                <w:lang w:val="en-CA"/>
              </w:rPr>
              <w:t xml:space="preserve">the Abitur starts in grade 10 with </w:t>
            </w:r>
            <w:r w:rsidR="003118AE">
              <w:rPr>
                <w:lang w:val="en-CA"/>
              </w:rPr>
              <w:t xml:space="preserve">certain exams </w:t>
            </w:r>
            <w:r w:rsidR="00460562">
              <w:rPr>
                <w:lang w:val="en-CA"/>
              </w:rPr>
              <w:t xml:space="preserve">required </w:t>
            </w:r>
            <w:r w:rsidR="003118AE">
              <w:rPr>
                <w:lang w:val="en-CA"/>
              </w:rPr>
              <w:t>to</w:t>
            </w:r>
            <w:r>
              <w:rPr>
                <w:lang w:val="en-CA"/>
              </w:rPr>
              <w:t xml:space="preserve"> qualif</w:t>
            </w:r>
            <w:r w:rsidR="003118AE">
              <w:rPr>
                <w:lang w:val="en-CA"/>
              </w:rPr>
              <w:t xml:space="preserve">y for promotion to </w:t>
            </w:r>
            <w:r>
              <w:rPr>
                <w:lang w:val="en-CA"/>
              </w:rPr>
              <w:t xml:space="preserve">grade 11. </w:t>
            </w:r>
            <w:r w:rsidR="003118AE">
              <w:rPr>
                <w:lang w:val="en-CA"/>
              </w:rPr>
              <w:t xml:space="preserve">The </w:t>
            </w:r>
            <w:r w:rsidR="00460562">
              <w:rPr>
                <w:lang w:val="en-CA"/>
              </w:rPr>
              <w:t xml:space="preserve">DIA </w:t>
            </w:r>
            <w:r w:rsidR="003118AE">
              <w:rPr>
                <w:lang w:val="en-CA"/>
              </w:rPr>
              <w:t>program comprises grades 11 and</w:t>
            </w:r>
            <w:r>
              <w:rPr>
                <w:lang w:val="en-CA"/>
              </w:rPr>
              <w:t xml:space="preserve"> 1</w:t>
            </w:r>
            <w:r w:rsidR="003118AE">
              <w:rPr>
                <w:lang w:val="en-CA"/>
              </w:rPr>
              <w:t xml:space="preserve">2, and marks obtained across the </w:t>
            </w:r>
            <w:r w:rsidR="00855431">
              <w:rPr>
                <w:lang w:val="en-CA"/>
              </w:rPr>
              <w:t>four semesters divided in two years</w:t>
            </w:r>
            <w:r>
              <w:rPr>
                <w:lang w:val="en-CA"/>
              </w:rPr>
              <w:t xml:space="preserve"> count into the overall average.</w:t>
            </w:r>
          </w:p>
        </w:tc>
      </w:tr>
      <w:tr w:rsidR="00AC2AFC" w:rsidRPr="00353C18" w14:paraId="081F571B" w14:textId="77777777" w:rsidTr="006B17C7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DB48E05" w14:textId="3AC77C77" w:rsidR="00AC2AFC" w:rsidRDefault="00AC2AFC" w:rsidP="00302ED3">
            <w:pPr>
              <w:jc w:val="center"/>
            </w:pPr>
            <w:r>
              <w:t>Exams</w:t>
            </w:r>
          </w:p>
        </w:tc>
        <w:tc>
          <w:tcPr>
            <w:tcW w:w="4319" w:type="dxa"/>
            <w:shd w:val="clear" w:color="auto" w:fill="auto"/>
          </w:tcPr>
          <w:p w14:paraId="02B9210C" w14:textId="7D771550" w:rsidR="00F348A6" w:rsidRPr="00AC2AFC" w:rsidRDefault="00AC2AFC" w:rsidP="0056632C">
            <w:pPr>
              <w:jc w:val="both"/>
              <w:rPr>
                <w:lang w:val="en-CA"/>
              </w:rPr>
            </w:pPr>
            <w:r w:rsidRPr="00AC2AFC">
              <w:rPr>
                <w:lang w:val="en-CA"/>
              </w:rPr>
              <w:t>Students take the Quebec p</w:t>
            </w:r>
            <w:r>
              <w:rPr>
                <w:lang w:val="en-CA"/>
              </w:rPr>
              <w:t xml:space="preserve">rovincial exams in grade 10 (HQC, </w:t>
            </w:r>
            <w:r w:rsidR="00C82A10">
              <w:rPr>
                <w:lang w:val="en-CA"/>
              </w:rPr>
              <w:t>S</w:t>
            </w:r>
            <w:r>
              <w:rPr>
                <w:lang w:val="en-CA"/>
              </w:rPr>
              <w:t xml:space="preserve">cience and </w:t>
            </w:r>
            <w:r w:rsidR="00C82A10">
              <w:rPr>
                <w:lang w:val="en-CA"/>
              </w:rPr>
              <w:t>M</w:t>
            </w:r>
            <w:r>
              <w:rPr>
                <w:lang w:val="en-CA"/>
              </w:rPr>
              <w:t>aths) and grade 11 (E</w:t>
            </w:r>
            <w:r w:rsidR="003118AE">
              <w:rPr>
                <w:lang w:val="en-CA"/>
              </w:rPr>
              <w:t>nglish</w:t>
            </w:r>
            <w:r>
              <w:rPr>
                <w:lang w:val="en-CA"/>
              </w:rPr>
              <w:t>, F</w:t>
            </w:r>
            <w:r w:rsidR="003118AE">
              <w:rPr>
                <w:lang w:val="en-CA"/>
              </w:rPr>
              <w:t>rench second language or mother tongue</w:t>
            </w:r>
            <w:r>
              <w:rPr>
                <w:lang w:val="en-CA"/>
              </w:rPr>
              <w:t>)</w:t>
            </w:r>
            <w:r w:rsidR="0056632C">
              <w:rPr>
                <w:lang w:val="en-CA"/>
              </w:rPr>
              <w:t>.</w:t>
            </w:r>
          </w:p>
        </w:tc>
        <w:tc>
          <w:tcPr>
            <w:tcW w:w="4186" w:type="dxa"/>
            <w:shd w:val="clear" w:color="auto" w:fill="auto"/>
          </w:tcPr>
          <w:p w14:paraId="06989587" w14:textId="77777777" w:rsidR="001D27E8" w:rsidRDefault="00AC2AFC" w:rsidP="0056632C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Students take </w:t>
            </w:r>
            <w:r w:rsidR="001D27E8">
              <w:rPr>
                <w:lang w:val="en-CA"/>
              </w:rPr>
              <w:t xml:space="preserve">3 written exams beginning of February. German is mandatory. </w:t>
            </w:r>
          </w:p>
          <w:p w14:paraId="13358AED" w14:textId="424908D6" w:rsidR="00AC2AFC" w:rsidRPr="00AC2AFC" w:rsidRDefault="001D27E8" w:rsidP="0056632C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Students take 2 orals exams at the end of grade 12. </w:t>
            </w:r>
          </w:p>
        </w:tc>
      </w:tr>
      <w:tr w:rsidR="00AC2AFC" w:rsidRPr="00353C18" w14:paraId="180D23E1" w14:textId="77777777" w:rsidTr="006B17C7">
        <w:trPr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4F335DF" w14:textId="250C010A" w:rsidR="00AC2AFC" w:rsidRDefault="00AC2AFC" w:rsidP="00302ED3">
            <w:pPr>
              <w:jc w:val="center"/>
            </w:pPr>
            <w:r>
              <w:t>C</w:t>
            </w:r>
            <w:r w:rsidR="00EB20AF">
              <w:t>É</w:t>
            </w:r>
            <w:r>
              <w:t>GEP</w:t>
            </w:r>
          </w:p>
          <w:p w14:paraId="5890AB4E" w14:textId="0C7DF3F5" w:rsidR="00EB20AF" w:rsidRDefault="00EB20AF" w:rsidP="00EB20AF">
            <w:pPr>
              <w:jc w:val="center"/>
            </w:pPr>
            <w:r>
              <w:t>pre-university college</w:t>
            </w:r>
          </w:p>
          <w:p w14:paraId="1D3F91C6" w14:textId="5DE06799" w:rsidR="00EB20AF" w:rsidRDefault="00EB20AF" w:rsidP="00302ED3">
            <w:pPr>
              <w:jc w:val="center"/>
            </w:pPr>
          </w:p>
        </w:tc>
        <w:tc>
          <w:tcPr>
            <w:tcW w:w="4319" w:type="dxa"/>
            <w:shd w:val="clear" w:color="auto" w:fill="auto"/>
          </w:tcPr>
          <w:p w14:paraId="7785983B" w14:textId="77777777" w:rsidR="00EE0AB8" w:rsidRDefault="00AC2AFC" w:rsidP="0056632C">
            <w:pPr>
              <w:jc w:val="both"/>
              <w:rPr>
                <w:lang w:val="en-CA"/>
              </w:rPr>
            </w:pPr>
            <w:r w:rsidRPr="00AC2AFC">
              <w:rPr>
                <w:lang w:val="en-CA"/>
              </w:rPr>
              <w:t xml:space="preserve">After </w:t>
            </w:r>
            <w:r w:rsidR="00460562">
              <w:rPr>
                <w:lang w:val="en-CA"/>
              </w:rPr>
              <w:t xml:space="preserve">obtaining their DES at the end of </w:t>
            </w:r>
            <w:r w:rsidRPr="00AC2AFC">
              <w:rPr>
                <w:lang w:val="en-CA"/>
              </w:rPr>
              <w:t xml:space="preserve">grade 11, students </w:t>
            </w:r>
            <w:r w:rsidR="00460562">
              <w:rPr>
                <w:lang w:val="en-CA"/>
              </w:rPr>
              <w:t>may attend</w:t>
            </w:r>
            <w:r>
              <w:rPr>
                <w:lang w:val="en-CA"/>
              </w:rPr>
              <w:t xml:space="preserve"> C</w:t>
            </w:r>
            <w:r w:rsidR="00460562">
              <w:rPr>
                <w:lang w:val="en-CA"/>
              </w:rPr>
              <w:t>é</w:t>
            </w:r>
            <w:r>
              <w:rPr>
                <w:lang w:val="en-CA"/>
              </w:rPr>
              <w:t xml:space="preserve">gep. </w:t>
            </w:r>
          </w:p>
          <w:p w14:paraId="2AC82DC0" w14:textId="5D1486D6" w:rsidR="00F348A6" w:rsidRPr="00AC2AFC" w:rsidRDefault="00AC2AFC" w:rsidP="0056632C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They choose a </w:t>
            </w:r>
            <w:r w:rsidR="00962436">
              <w:rPr>
                <w:lang w:val="en-CA"/>
              </w:rPr>
              <w:t>2-year</w:t>
            </w:r>
            <w:r>
              <w:rPr>
                <w:lang w:val="en-CA"/>
              </w:rPr>
              <w:t xml:space="preserve"> program</w:t>
            </w:r>
            <w:r w:rsidR="00460562">
              <w:rPr>
                <w:lang w:val="en-CA"/>
              </w:rPr>
              <w:t>, allowing them to apply to a u</w:t>
            </w:r>
            <w:r>
              <w:rPr>
                <w:lang w:val="en-CA"/>
              </w:rPr>
              <w:t xml:space="preserve">niversity, or a </w:t>
            </w:r>
            <w:r w:rsidR="00302ED3">
              <w:rPr>
                <w:lang w:val="en-CA"/>
              </w:rPr>
              <w:t>3-year</w:t>
            </w:r>
            <w:r>
              <w:rPr>
                <w:lang w:val="en-CA"/>
              </w:rPr>
              <w:t xml:space="preserve"> professional program </w:t>
            </w:r>
            <w:r w:rsidR="00460562">
              <w:rPr>
                <w:lang w:val="en-CA"/>
              </w:rPr>
              <w:t>t</w:t>
            </w:r>
            <w:r>
              <w:rPr>
                <w:lang w:val="en-CA"/>
              </w:rPr>
              <w:t xml:space="preserve">o enter the job </w:t>
            </w:r>
            <w:r w:rsidR="00460562">
              <w:rPr>
                <w:lang w:val="en-CA"/>
              </w:rPr>
              <w:t>market</w:t>
            </w:r>
            <w:r>
              <w:rPr>
                <w:lang w:val="en-CA"/>
              </w:rPr>
              <w:t xml:space="preserve"> or </w:t>
            </w:r>
            <w:r w:rsidR="00460562">
              <w:rPr>
                <w:lang w:val="en-CA"/>
              </w:rPr>
              <w:t xml:space="preserve">to </w:t>
            </w:r>
            <w:r>
              <w:rPr>
                <w:lang w:val="en-CA"/>
              </w:rPr>
              <w:t>study in th</w:t>
            </w:r>
            <w:r w:rsidR="0079416A">
              <w:rPr>
                <w:lang w:val="en-CA"/>
              </w:rPr>
              <w:t>eir</w:t>
            </w:r>
            <w:r>
              <w:rPr>
                <w:lang w:val="en-CA"/>
              </w:rPr>
              <w:t xml:space="preserve"> specific field</w:t>
            </w:r>
            <w:r w:rsidR="00460562">
              <w:rPr>
                <w:lang w:val="en-CA"/>
              </w:rPr>
              <w:t>.</w:t>
            </w:r>
          </w:p>
        </w:tc>
        <w:tc>
          <w:tcPr>
            <w:tcW w:w="4186" w:type="dxa"/>
            <w:shd w:val="clear" w:color="auto" w:fill="auto"/>
          </w:tcPr>
          <w:p w14:paraId="5C8FE9E7" w14:textId="77777777" w:rsidR="00AC2AFC" w:rsidRPr="00AC2AFC" w:rsidRDefault="00AC2AFC" w:rsidP="0056632C">
            <w:pPr>
              <w:jc w:val="both"/>
              <w:rPr>
                <w:lang w:val="en-CA"/>
              </w:rPr>
            </w:pPr>
          </w:p>
        </w:tc>
      </w:tr>
      <w:tr w:rsidR="00AC2AFC" w:rsidRPr="00353C18" w14:paraId="195571C5" w14:textId="77777777" w:rsidTr="0079416A">
        <w:trPr>
          <w:jc w:val="center"/>
        </w:trPr>
        <w:tc>
          <w:tcPr>
            <w:tcW w:w="1838" w:type="dxa"/>
            <w:vAlign w:val="center"/>
          </w:tcPr>
          <w:p w14:paraId="7EA08EE1" w14:textId="4E336F06" w:rsidR="00AC2AFC" w:rsidRDefault="00AC2AFC" w:rsidP="00302ED3">
            <w:pPr>
              <w:jc w:val="center"/>
            </w:pPr>
            <w:r w:rsidRPr="00962436">
              <w:rPr>
                <w:lang w:val="en-CA"/>
              </w:rPr>
              <w:t>University</w:t>
            </w:r>
          </w:p>
        </w:tc>
        <w:tc>
          <w:tcPr>
            <w:tcW w:w="4319" w:type="dxa"/>
          </w:tcPr>
          <w:p w14:paraId="6BB1C9FA" w14:textId="2D403554" w:rsidR="00AC2AFC" w:rsidRDefault="00E364C0" w:rsidP="0056632C">
            <w:pPr>
              <w:jc w:val="both"/>
              <w:rPr>
                <w:lang w:val="en-CA"/>
              </w:rPr>
            </w:pPr>
            <w:r w:rsidRPr="00E364C0">
              <w:rPr>
                <w:lang w:val="en-CA"/>
              </w:rPr>
              <w:t xml:space="preserve">After </w:t>
            </w:r>
            <w:r w:rsidR="00EB20AF">
              <w:rPr>
                <w:lang w:val="en-CA"/>
              </w:rPr>
              <w:t xml:space="preserve">obtaining their </w:t>
            </w:r>
            <w:r w:rsidRPr="00E364C0">
              <w:rPr>
                <w:lang w:val="en-CA"/>
              </w:rPr>
              <w:t>C</w:t>
            </w:r>
            <w:r w:rsidR="00460562">
              <w:rPr>
                <w:lang w:val="en-CA"/>
              </w:rPr>
              <w:t>é</w:t>
            </w:r>
            <w:r w:rsidRPr="00E364C0">
              <w:rPr>
                <w:lang w:val="en-CA"/>
              </w:rPr>
              <w:t>gep</w:t>
            </w:r>
            <w:r w:rsidR="00EB20AF">
              <w:rPr>
                <w:lang w:val="en-CA"/>
              </w:rPr>
              <w:t xml:space="preserve"> diploma</w:t>
            </w:r>
            <w:r w:rsidRPr="00E364C0">
              <w:rPr>
                <w:lang w:val="en-CA"/>
              </w:rPr>
              <w:t>, students can s</w:t>
            </w:r>
            <w:r>
              <w:rPr>
                <w:lang w:val="en-CA"/>
              </w:rPr>
              <w:t xml:space="preserve">tudy in </w:t>
            </w:r>
            <w:r w:rsidR="00460562">
              <w:rPr>
                <w:lang w:val="en-CA"/>
              </w:rPr>
              <w:t xml:space="preserve">Quebec or </w:t>
            </w:r>
            <w:r w:rsidR="00EB20AF">
              <w:rPr>
                <w:lang w:val="en-CA"/>
              </w:rPr>
              <w:t>elsewhere in</w:t>
            </w:r>
            <w:r w:rsidR="00460562">
              <w:rPr>
                <w:lang w:val="en-CA"/>
              </w:rPr>
              <w:t xml:space="preserve"> Canada</w:t>
            </w:r>
            <w:r w:rsidR="00962436">
              <w:rPr>
                <w:lang w:val="en-CA"/>
              </w:rPr>
              <w:t>.</w:t>
            </w:r>
          </w:p>
          <w:p w14:paraId="70F0F8AB" w14:textId="4C495574" w:rsidR="00E364C0" w:rsidRPr="00460562" w:rsidRDefault="00460562" w:rsidP="00460562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To obtain an undergraduate academic degree (B.A.), a 3-year year program of studies is </w:t>
            </w:r>
            <w:r w:rsidR="00EB20AF">
              <w:rPr>
                <w:lang w:val="en-CA"/>
              </w:rPr>
              <w:t xml:space="preserve">generally </w:t>
            </w:r>
            <w:r>
              <w:rPr>
                <w:lang w:val="en-CA"/>
              </w:rPr>
              <w:t>required.</w:t>
            </w:r>
          </w:p>
          <w:p w14:paraId="4406BFA5" w14:textId="77777777" w:rsidR="00E364C0" w:rsidRDefault="00E364C0" w:rsidP="0056632C">
            <w:pPr>
              <w:jc w:val="both"/>
              <w:rPr>
                <w:lang w:val="en-CA"/>
              </w:rPr>
            </w:pPr>
          </w:p>
          <w:p w14:paraId="70964313" w14:textId="57A6D90B" w:rsidR="00E364C0" w:rsidRPr="007D1CE9" w:rsidRDefault="00EB20AF" w:rsidP="0056632C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A </w:t>
            </w:r>
            <w:r w:rsidR="00E364C0">
              <w:rPr>
                <w:lang w:val="en-CA"/>
              </w:rPr>
              <w:t>C</w:t>
            </w:r>
            <w:r>
              <w:rPr>
                <w:lang w:val="en-CA"/>
              </w:rPr>
              <w:t>é</w:t>
            </w:r>
            <w:r w:rsidR="00E364C0">
              <w:rPr>
                <w:lang w:val="en-CA"/>
              </w:rPr>
              <w:t xml:space="preserve">gep </w:t>
            </w:r>
            <w:r>
              <w:rPr>
                <w:lang w:val="en-CA"/>
              </w:rPr>
              <w:t xml:space="preserve">diploma may </w:t>
            </w:r>
            <w:r w:rsidR="00E364C0">
              <w:rPr>
                <w:lang w:val="en-CA"/>
              </w:rPr>
              <w:t xml:space="preserve">be recognized </w:t>
            </w:r>
            <w:r>
              <w:rPr>
                <w:lang w:val="en-CA"/>
              </w:rPr>
              <w:t>internationally</w:t>
            </w:r>
            <w:r w:rsidR="00E364C0">
              <w:rPr>
                <w:lang w:val="en-CA"/>
              </w:rPr>
              <w:t xml:space="preserve"> but the proc</w:t>
            </w:r>
            <w:r>
              <w:rPr>
                <w:lang w:val="en-CA"/>
              </w:rPr>
              <w:t>ess</w:t>
            </w:r>
            <w:r w:rsidR="00E364C0">
              <w:rPr>
                <w:lang w:val="en-CA"/>
              </w:rPr>
              <w:t xml:space="preserve"> is not as </w:t>
            </w:r>
            <w:r>
              <w:rPr>
                <w:lang w:val="en-CA"/>
              </w:rPr>
              <w:t>straightforward</w:t>
            </w:r>
            <w:r w:rsidR="00E364C0">
              <w:rPr>
                <w:lang w:val="en-CA"/>
              </w:rPr>
              <w:t xml:space="preserve"> as </w:t>
            </w:r>
            <w:r>
              <w:rPr>
                <w:lang w:val="en-CA"/>
              </w:rPr>
              <w:t>with the German I</w:t>
            </w:r>
            <w:r w:rsidR="00E364C0">
              <w:rPr>
                <w:lang w:val="en-CA"/>
              </w:rPr>
              <w:t>nternational Abitur</w:t>
            </w:r>
            <w:r w:rsidR="0056632C">
              <w:rPr>
                <w:lang w:val="en-CA"/>
              </w:rPr>
              <w:t>.</w:t>
            </w:r>
          </w:p>
        </w:tc>
        <w:tc>
          <w:tcPr>
            <w:tcW w:w="4186" w:type="dxa"/>
          </w:tcPr>
          <w:p w14:paraId="51353798" w14:textId="6B59D2A5" w:rsidR="00AC2AFC" w:rsidRDefault="00E364C0" w:rsidP="0056632C">
            <w:pPr>
              <w:jc w:val="both"/>
              <w:rPr>
                <w:lang w:val="en-CA"/>
              </w:rPr>
            </w:pPr>
            <w:r w:rsidRPr="00E364C0">
              <w:rPr>
                <w:lang w:val="en-CA"/>
              </w:rPr>
              <w:t xml:space="preserve">After </w:t>
            </w:r>
            <w:r w:rsidR="00B868CA">
              <w:rPr>
                <w:lang w:val="en-CA"/>
              </w:rPr>
              <w:t xml:space="preserve">successfully graduating from </w:t>
            </w:r>
            <w:r w:rsidRPr="00E364C0">
              <w:rPr>
                <w:lang w:val="en-CA"/>
              </w:rPr>
              <w:t xml:space="preserve">grade 12, students </w:t>
            </w:r>
            <w:r w:rsidR="00460562">
              <w:rPr>
                <w:lang w:val="en-CA"/>
              </w:rPr>
              <w:t>may attend university</w:t>
            </w:r>
            <w:r w:rsidR="00EB20AF">
              <w:rPr>
                <w:lang w:val="en-CA"/>
              </w:rPr>
              <w:t xml:space="preserve"> and obtain their B.A.</w:t>
            </w:r>
          </w:p>
          <w:p w14:paraId="2AB5A374" w14:textId="35488699" w:rsidR="00E364C0" w:rsidRPr="004A6E2B" w:rsidRDefault="004A6E2B" w:rsidP="004A6E2B">
            <w:pPr>
              <w:jc w:val="both"/>
              <w:rPr>
                <w:lang w:val="en-CA"/>
              </w:rPr>
            </w:pPr>
            <w:r w:rsidRPr="004A6E2B">
              <w:rPr>
                <w:lang w:val="en-CA"/>
              </w:rPr>
              <w:t>-</w:t>
            </w:r>
            <w:r>
              <w:rPr>
                <w:lang w:val="en-CA"/>
              </w:rPr>
              <w:t xml:space="preserve"> </w:t>
            </w:r>
            <w:r w:rsidR="00460562" w:rsidRPr="004A6E2B">
              <w:rPr>
                <w:lang w:val="en-CA"/>
              </w:rPr>
              <w:t>i</w:t>
            </w:r>
            <w:r w:rsidR="00E364C0" w:rsidRPr="004A6E2B">
              <w:rPr>
                <w:lang w:val="en-CA"/>
              </w:rPr>
              <w:t>n Quebec</w:t>
            </w:r>
            <w:r w:rsidR="00460562" w:rsidRPr="004A6E2B">
              <w:rPr>
                <w:lang w:val="en-CA"/>
              </w:rPr>
              <w:t>,</w:t>
            </w:r>
            <w:r w:rsidR="00EB20AF" w:rsidRPr="004A6E2B">
              <w:rPr>
                <w:lang w:val="en-CA"/>
              </w:rPr>
              <w:t xml:space="preserve"> w</w:t>
            </w:r>
            <w:r w:rsidR="001D27E8" w:rsidRPr="004A6E2B">
              <w:rPr>
                <w:lang w:val="en-CA"/>
              </w:rPr>
              <w:t>h</w:t>
            </w:r>
            <w:r w:rsidR="00EB20AF" w:rsidRPr="004A6E2B">
              <w:rPr>
                <w:lang w:val="en-CA"/>
              </w:rPr>
              <w:t>ere</w:t>
            </w:r>
            <w:r w:rsidR="00460562" w:rsidRPr="004A6E2B">
              <w:rPr>
                <w:lang w:val="en-CA"/>
              </w:rPr>
              <w:t xml:space="preserve"> </w:t>
            </w:r>
            <w:r w:rsidR="001D27E8" w:rsidRPr="004A6E2B">
              <w:rPr>
                <w:lang w:val="en-CA"/>
              </w:rPr>
              <w:t xml:space="preserve">3 or </w:t>
            </w:r>
            <w:r w:rsidR="00E364C0" w:rsidRPr="004A6E2B">
              <w:rPr>
                <w:lang w:val="en-CA"/>
              </w:rPr>
              <w:t xml:space="preserve">4 years (including a year 0) </w:t>
            </w:r>
            <w:r w:rsidR="00460562" w:rsidRPr="004A6E2B">
              <w:rPr>
                <w:lang w:val="en-CA"/>
              </w:rPr>
              <w:t>are required</w:t>
            </w:r>
            <w:r w:rsidR="001D27E8" w:rsidRPr="004A6E2B">
              <w:rPr>
                <w:lang w:val="en-CA"/>
              </w:rPr>
              <w:t xml:space="preserve"> depending on the faculty.</w:t>
            </w:r>
          </w:p>
          <w:p w14:paraId="15F1C3A9" w14:textId="1F70E01E" w:rsidR="00460562" w:rsidRPr="004A6E2B" w:rsidRDefault="004A6E2B" w:rsidP="004A6E2B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r w:rsidR="00EB20AF" w:rsidRPr="004A6E2B">
              <w:rPr>
                <w:lang w:val="en-CA"/>
              </w:rPr>
              <w:t>elsewhere in</w:t>
            </w:r>
            <w:r w:rsidR="00460562" w:rsidRPr="004A6E2B">
              <w:rPr>
                <w:lang w:val="en-CA"/>
              </w:rPr>
              <w:t xml:space="preserve"> Canada, where </w:t>
            </w:r>
            <w:r w:rsidR="00E364C0" w:rsidRPr="004A6E2B">
              <w:rPr>
                <w:lang w:val="en-CA"/>
              </w:rPr>
              <w:t>3</w:t>
            </w:r>
            <w:r w:rsidR="00EB20AF" w:rsidRPr="004A6E2B">
              <w:rPr>
                <w:lang w:val="en-CA"/>
              </w:rPr>
              <w:t xml:space="preserve"> to 4 years</w:t>
            </w:r>
            <w:r w:rsidR="00E364C0" w:rsidRPr="004A6E2B">
              <w:rPr>
                <w:lang w:val="en-CA"/>
              </w:rPr>
              <w:t xml:space="preserve"> </w:t>
            </w:r>
            <w:r w:rsidR="00460562" w:rsidRPr="004A6E2B">
              <w:rPr>
                <w:lang w:val="en-CA"/>
              </w:rPr>
              <w:t>are required</w:t>
            </w:r>
            <w:r w:rsidR="00EB20AF" w:rsidRPr="004A6E2B">
              <w:rPr>
                <w:lang w:val="en-CA"/>
              </w:rPr>
              <w:t>, depending on the study program</w:t>
            </w:r>
            <w:r w:rsidR="00460562" w:rsidRPr="004A6E2B">
              <w:rPr>
                <w:lang w:val="en-CA"/>
              </w:rPr>
              <w:t>.</w:t>
            </w:r>
          </w:p>
          <w:p w14:paraId="4F981B20" w14:textId="7F296FFF" w:rsidR="00E364C0" w:rsidRPr="004A6E2B" w:rsidRDefault="004A6E2B" w:rsidP="004A6E2B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r w:rsidR="00460562" w:rsidRPr="004A6E2B">
              <w:rPr>
                <w:lang w:val="en-CA"/>
              </w:rPr>
              <w:t>i</w:t>
            </w:r>
            <w:r w:rsidR="00EB20AF" w:rsidRPr="004A6E2B">
              <w:rPr>
                <w:lang w:val="en-CA"/>
              </w:rPr>
              <w:t>n</w:t>
            </w:r>
            <w:r w:rsidR="00E364C0" w:rsidRPr="004A6E2B">
              <w:rPr>
                <w:lang w:val="en-CA"/>
              </w:rPr>
              <w:t xml:space="preserve"> Germany</w:t>
            </w:r>
            <w:r w:rsidR="00EB20AF" w:rsidRPr="004A6E2B">
              <w:rPr>
                <w:lang w:val="en-CA"/>
              </w:rPr>
              <w:t xml:space="preserve"> and </w:t>
            </w:r>
            <w:r w:rsidR="00855431">
              <w:rPr>
                <w:lang w:val="en-CA"/>
              </w:rPr>
              <w:t>worldwide</w:t>
            </w:r>
            <w:r w:rsidR="00EB20AF" w:rsidRPr="004A6E2B">
              <w:rPr>
                <w:lang w:val="en-CA"/>
              </w:rPr>
              <w:t xml:space="preserve"> generally </w:t>
            </w:r>
            <w:r w:rsidR="0079416A" w:rsidRPr="004A6E2B">
              <w:rPr>
                <w:lang w:val="en-CA"/>
              </w:rPr>
              <w:t>in a</w:t>
            </w:r>
            <w:r w:rsidR="00E364C0" w:rsidRPr="004A6E2B">
              <w:rPr>
                <w:lang w:val="en-CA"/>
              </w:rPr>
              <w:t xml:space="preserve"> </w:t>
            </w:r>
            <w:r w:rsidR="00962436" w:rsidRPr="004A6E2B">
              <w:rPr>
                <w:lang w:val="en-CA"/>
              </w:rPr>
              <w:t>3-year</w:t>
            </w:r>
            <w:r w:rsidR="00E364C0" w:rsidRPr="004A6E2B">
              <w:rPr>
                <w:lang w:val="en-CA"/>
              </w:rPr>
              <w:t xml:space="preserve"> </w:t>
            </w:r>
            <w:r w:rsidR="00EB20AF" w:rsidRPr="004A6E2B">
              <w:rPr>
                <w:lang w:val="en-CA"/>
              </w:rPr>
              <w:t xml:space="preserve">study </w:t>
            </w:r>
            <w:r w:rsidR="00E364C0" w:rsidRPr="004A6E2B">
              <w:rPr>
                <w:lang w:val="en-CA"/>
              </w:rPr>
              <w:t>program</w:t>
            </w:r>
            <w:r w:rsidR="00EB20AF" w:rsidRPr="004A6E2B">
              <w:rPr>
                <w:lang w:val="en-CA"/>
              </w:rPr>
              <w:t>.</w:t>
            </w:r>
          </w:p>
        </w:tc>
      </w:tr>
    </w:tbl>
    <w:p w14:paraId="5F19D573" w14:textId="595E27EA" w:rsidR="00E364C0" w:rsidRDefault="004A6E2B" w:rsidP="00302ED3">
      <w:pPr>
        <w:jc w:val="both"/>
        <w:rPr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CFA7C" wp14:editId="0C2E2B21">
                <wp:simplePos x="0" y="0"/>
                <wp:positionH relativeFrom="margin">
                  <wp:align>right</wp:align>
                </wp:positionH>
                <wp:positionV relativeFrom="paragraph">
                  <wp:posOffset>214485</wp:posOffset>
                </wp:positionV>
                <wp:extent cx="2292350" cy="104013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4B21C" w14:textId="34529740" w:rsidR="000E2BFA" w:rsidRDefault="000E2BFA" w:rsidP="000E2BF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E2BFA">
                              <w:rPr>
                                <w:sz w:val="28"/>
                                <w:szCs w:val="28"/>
                                <w:lang w:val="en-CA"/>
                              </w:rPr>
                              <w:t>Call now or visit our website!</w:t>
                            </w:r>
                          </w:p>
                          <w:p w14:paraId="047E8328" w14:textId="2B94C921" w:rsidR="000E2BFA" w:rsidRPr="000E2BFA" w:rsidRDefault="000E2BFA" w:rsidP="000E2BF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0E2BFA">
                              <w:rPr>
                                <w:sz w:val="28"/>
                                <w:szCs w:val="28"/>
                                <w:lang w:val="en-CA"/>
                              </w:rPr>
                              <w:t>+1-514-457-2886</w:t>
                            </w:r>
                          </w:p>
                          <w:p w14:paraId="124F025E" w14:textId="6F9CA96F" w:rsidR="00E66B7E" w:rsidRPr="0056632C" w:rsidRDefault="000E2BFA" w:rsidP="000E2BF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56632C">
                              <w:rPr>
                                <w:sz w:val="28"/>
                                <w:szCs w:val="28"/>
                                <w:lang w:val="en-CA"/>
                              </w:rPr>
                              <w:t>avh@avh.montreal.qc.ca</w:t>
                            </w:r>
                          </w:p>
                          <w:p w14:paraId="4DB6D630" w14:textId="31DC7B58" w:rsidR="000E2BFA" w:rsidRPr="0056632C" w:rsidRDefault="000E2BFA" w:rsidP="000E2BF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56632C">
                              <w:rPr>
                                <w:sz w:val="28"/>
                                <w:szCs w:val="28"/>
                                <w:lang w:val="en-CA"/>
                              </w:rPr>
                              <w:t>avhmontreal.ca</w:t>
                            </w:r>
                          </w:p>
                          <w:p w14:paraId="7274A9F8" w14:textId="77777777" w:rsidR="000E2BFA" w:rsidRPr="0056632C" w:rsidRDefault="000E2BFA" w:rsidP="000E2BFA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14:paraId="1AB840D6" w14:textId="720E723B" w:rsidR="000E2BFA" w:rsidRPr="0056632C" w:rsidRDefault="000E2BFA" w:rsidP="000E2BF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FA7C" id="Text Box 8" o:spid="_x0000_s1027" type="#_x0000_t202" style="position:absolute;left:0;text-align:left;margin-left:129.3pt;margin-top:16.9pt;width:180.5pt;height:81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6eLgIAAFwEAAAOAAAAZHJzL2Uyb0RvYy54bWysVEtv2zAMvg/YfxB0X/xo2rVBnCJLkWFA&#10;0BZIh54VWYoFyKImKbGzXz9KTpqs22nYRSZFio/vIz2971tN9sJ5BaaixSinRBgOtTLbin5/WX66&#10;pcQHZmqmwYiKHoSn97OPH6adnYgSGtC1cASDGD/pbEWbEOwkyzxvRMv8CKwwaJTgWhZQddusdqzD&#10;6K3Oyjy/yTpwtXXAhfd4+zAY6SzFl1Lw8CSlF4HoimJtIZ0unZt4ZrMpm2wds43ixzLYP1TRMmUw&#10;6VuoBxYY2Tn1R6hWcQceZBhxaDOQUnGResBuivxdN+uGWZF6QXC8fYPJ/7+w/HG/ts+OhP4L9Ehg&#10;BKSzfuLxMvbTS9fGL1ZK0I4QHt5gE30gHC/L8q68ukYTR1uRj/PiKgGbnZ9b58NXAS2JQkUd8pLg&#10;YvuVD5gSXU8uMZsHreql0jopcRbEQjuyZ8iiDqlIfPGblzakq+hNrCM+MhCfD5G1wQTnpqIU+k1P&#10;VH3R8AbqA+LgYBgRb/lSYa0r5sMzczgT2B/OeXjCQ2rAXHCUKGnA/fzbffRHqtBKSYczVlH/Y8ec&#10;oER/M0jiXTEex6FMyvj6c4mKu7RsLi1m1y4AAShwoyxPYvQP+iRKB+0rrsM8ZkUTMxxzVzScxEUY&#10;Jh/XiYv5PDnhGFoWVmZteQwdsYtMvPSvzNkjXQGZfoTTNLLJO9YG3wH1+S6AVInSiPOA6hF+HOHE&#10;9HHd4o5c6snr/FOY/QIAAP//AwBQSwMEFAAGAAgAAAAhAGIzINneAAAABwEAAA8AAABkcnMvZG93&#10;bnJldi54bWxMj81OwzAQhO9IvIO1SFwQdYpFCiFOhRA/Um80LYibGy9JRLyOYjcJb89yguPsjGa+&#10;zdez68SIQ2g9aVguEhBIlbct1Rp25dPlDYgQDVnTeUIN3xhgXZye5CazfqJXHLexFlxCITMamhj7&#10;TMpQNehMWPgeib1PPzgTWQ61tIOZuNx18ipJUulMS7zQmB4fGqy+tken4eOift+E+Xk/qWvVP76M&#10;5erNllqfn833dyAizvEvDL/4jA4FMx38kWwQnQZ+JGpQivnZVemSDweO3a5SkEUu//MXPwAAAP//&#10;AwBQSwECLQAUAAYACAAAACEAtoM4kv4AAADhAQAAEwAAAAAAAAAAAAAAAAAAAAAAW0NvbnRlbnRf&#10;VHlwZXNdLnhtbFBLAQItABQABgAIAAAAIQA4/SH/1gAAAJQBAAALAAAAAAAAAAAAAAAAAC8BAABf&#10;cmVscy8ucmVsc1BLAQItABQABgAIAAAAIQChpU6eLgIAAFwEAAAOAAAAAAAAAAAAAAAAAC4CAABk&#10;cnMvZTJvRG9jLnhtbFBLAQItABQABgAIAAAAIQBiMyDZ3gAAAAcBAAAPAAAAAAAAAAAAAAAAAIgE&#10;AABkcnMvZG93bnJldi54bWxQSwUGAAAAAAQABADzAAAAkwUAAAAA&#10;" fillcolor="white [3201]" stroked="f" strokeweight=".5pt">
                <v:textbox>
                  <w:txbxContent>
                    <w:p w14:paraId="05F4B21C" w14:textId="34529740" w:rsidR="000E2BFA" w:rsidRDefault="000E2BFA" w:rsidP="000E2BFA">
                      <w:pPr>
                        <w:spacing w:after="0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0E2BFA">
                        <w:rPr>
                          <w:sz w:val="28"/>
                          <w:szCs w:val="28"/>
                          <w:lang w:val="en-CA"/>
                        </w:rPr>
                        <w:t>Call now or visit our website!</w:t>
                      </w:r>
                    </w:p>
                    <w:p w14:paraId="047E8328" w14:textId="2B94C921" w:rsidR="000E2BFA" w:rsidRPr="000E2BFA" w:rsidRDefault="000E2BFA" w:rsidP="000E2BFA">
                      <w:pPr>
                        <w:spacing w:after="0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0E2BFA">
                        <w:rPr>
                          <w:sz w:val="28"/>
                          <w:szCs w:val="28"/>
                          <w:lang w:val="en-CA"/>
                        </w:rPr>
                        <w:t>+1-514-457-2886</w:t>
                      </w:r>
                    </w:p>
                    <w:p w14:paraId="124F025E" w14:textId="6F9CA96F" w:rsidR="00E66B7E" w:rsidRPr="0056632C" w:rsidRDefault="000E2BFA" w:rsidP="000E2BFA">
                      <w:pPr>
                        <w:spacing w:after="0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56632C">
                        <w:rPr>
                          <w:sz w:val="28"/>
                          <w:szCs w:val="28"/>
                          <w:lang w:val="en-CA"/>
                        </w:rPr>
                        <w:t>avh@avh.montreal.qc.ca</w:t>
                      </w:r>
                    </w:p>
                    <w:p w14:paraId="4DB6D630" w14:textId="31DC7B58" w:rsidR="000E2BFA" w:rsidRPr="0056632C" w:rsidRDefault="000E2BFA" w:rsidP="000E2BFA">
                      <w:pPr>
                        <w:spacing w:after="0"/>
                        <w:rPr>
                          <w:sz w:val="28"/>
                          <w:szCs w:val="28"/>
                          <w:lang w:val="en-CA"/>
                        </w:rPr>
                      </w:pPr>
                      <w:r w:rsidRPr="0056632C">
                        <w:rPr>
                          <w:sz w:val="28"/>
                          <w:szCs w:val="28"/>
                          <w:lang w:val="en-CA"/>
                        </w:rPr>
                        <w:t>avhmontreal.ca</w:t>
                      </w:r>
                    </w:p>
                    <w:p w14:paraId="7274A9F8" w14:textId="77777777" w:rsidR="000E2BFA" w:rsidRPr="0056632C" w:rsidRDefault="000E2BFA" w:rsidP="000E2BFA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</w:p>
                    <w:p w14:paraId="1AB840D6" w14:textId="720E723B" w:rsidR="000E2BFA" w:rsidRPr="0056632C" w:rsidRDefault="000E2BFA" w:rsidP="000E2BF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A6D95" wp14:editId="4C4FDE38">
                <wp:simplePos x="0" y="0"/>
                <wp:positionH relativeFrom="margin">
                  <wp:posOffset>-35560</wp:posOffset>
                </wp:positionH>
                <wp:positionV relativeFrom="paragraph">
                  <wp:posOffset>184930</wp:posOffset>
                </wp:positionV>
                <wp:extent cx="4143375" cy="1009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1A3F2" w14:textId="77777777" w:rsidR="00F2756B" w:rsidRPr="00E364C0" w:rsidRDefault="00F2756B" w:rsidP="00F2756B">
                            <w:pPr>
                              <w:jc w:val="both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The German international Abitur is based on an international recognized university preparatory program. It is a diploma that provides and exceptional academic, cultural, and multilingual education to students of all nationalities and multicultural background.</w:t>
                            </w:r>
                            <w:r w:rsidRPr="00F2756B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14:paraId="15740F04" w14:textId="77777777" w:rsidR="00F2756B" w:rsidRPr="00F2756B" w:rsidRDefault="00F2756B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6D95" id="Text Box 5" o:spid="_x0000_s1028" type="#_x0000_t202" style="position:absolute;left:0;text-align:left;margin-left:-2.8pt;margin-top:14.55pt;width:326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3/MQIAAFwEAAAOAAAAZHJzL2Uyb0RvYy54bWysVEtv2zAMvg/YfxB0X2zn1dWIU2QpMgwI&#10;2gLp0LMiS7EBWdQkJXb260fJea3badhFJkWKj+8jPXvoGkUOwroadEGzQUqJ0BzKWu8K+v119ekz&#10;Jc4zXTIFWhT0KBx9mH/8MGtNLoZQgSqFJRhEu7w1Ba28N3mSOF6JhrkBGKHRKME2zKNqd0lpWYvR&#10;G5UM03SatGBLY4EL5/D2sTfSeYwvpeD+WUonPFEFxdp8PG08t+FM5jOW7ywzVc1PZbB/qKJhtcak&#10;l1CPzDOyt/UfoZqaW3Ag/YBDk4CUNRexB+wmS991s6mYEbEXBMeZC0zu/4XlT4eNebHEd1+gQwID&#10;IK1xucPL0E8nbRO+WClBO0J4vMAmOk84Xo6z8Wh0N6GEoy1L0/vpJAKbXJ8b6/xXAQ0JQkEt8hLh&#10;Yoe185gSXc8uIZsDVZerWqmohFkQS2XJgSGLysci8cVvXkqTtqDTEaYOjzSE531kpTHBtakg+W7b&#10;kbos6PDc8BbKI+JgoR8RZ/iqxlrXzPkXZnEmsHWcc/+Mh1SAueAkUVKB/fm3++CPVKGVkhZnrKDu&#10;x55ZQYn6ppHE+2w8DkMZlfHkboiKvbVsby163ywBAchwowyPYvD36ixKC80brsMiZEUT0xxzF9Sf&#10;xaXvJx/XiYvFIjrhGBrm13pjeAgdsAtMvHZvzJoTXR6ZfoLzNLL8HWu9b4/6Yu9B1pHSgHOP6gl+&#10;HOHI9Gndwo7c6tHr+lOY/wIAAP//AwBQSwMEFAAGAAgAAAAhAEvTB+bhAAAACQEAAA8AAABkcnMv&#10;ZG93bnJldi54bWxMj8tOwzAQRfdI/IM1SGxQ66SlIQ1xKoR4SOxoeIidGw9JRDyOYjcJf8+wguXo&#10;Ht17Jt/NthMjDr51pCBeRiCQKmdaqhW8lPeLFIQPmozuHKGCb/SwK05Pcp0ZN9EzjvtQCy4hn2kF&#10;TQh9JqWvGrTaL12PxNmnG6wOfA61NIOeuNx2chVFibS6JV5odI+3DVZf+6NV8HFRvz/5+eF1Wm/W&#10;/d3jWF69mVKp87P55hpEwDn8wfCrz+pQsNPBHcl40SlYbBImFay2MQjOk8tkC+LAYJrGIItc/v+g&#10;+AEAAP//AwBQSwECLQAUAAYACAAAACEAtoM4kv4AAADhAQAAEwAAAAAAAAAAAAAAAAAAAAAAW0Nv&#10;bnRlbnRfVHlwZXNdLnhtbFBLAQItABQABgAIAAAAIQA4/SH/1gAAAJQBAAALAAAAAAAAAAAAAAAA&#10;AC8BAABfcmVscy8ucmVsc1BLAQItABQABgAIAAAAIQCNUO3/MQIAAFwEAAAOAAAAAAAAAAAAAAAA&#10;AC4CAABkcnMvZTJvRG9jLnhtbFBLAQItABQABgAIAAAAIQBL0wfm4QAAAAkBAAAPAAAAAAAAAAAA&#10;AAAAAIsEAABkcnMvZG93bnJldi54bWxQSwUGAAAAAAQABADzAAAAmQUAAAAA&#10;" fillcolor="white [3201]" stroked="f" strokeweight=".5pt">
                <v:textbox>
                  <w:txbxContent>
                    <w:p w14:paraId="70C1A3F2" w14:textId="77777777" w:rsidR="00F2756B" w:rsidRPr="00E364C0" w:rsidRDefault="00F2756B" w:rsidP="00F2756B">
                      <w:pPr>
                        <w:jc w:val="both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The German international Abitur is based on an international recognized university preparatory program. It is a diploma that provides and exceptional academic, cultural, and multilingual education to students of all nationalities and multicultural background.</w:t>
                      </w:r>
                      <w:r w:rsidRPr="00F2756B">
                        <w:rPr>
                          <w:lang w:val="en-CA"/>
                        </w:rPr>
                        <w:t xml:space="preserve"> </w:t>
                      </w:r>
                    </w:p>
                    <w:p w14:paraId="15740F04" w14:textId="77777777" w:rsidR="00F2756B" w:rsidRPr="00F2756B" w:rsidRDefault="00F2756B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5CBFDC" wp14:editId="6AB5BDE4">
            <wp:simplePos x="0" y="0"/>
            <wp:positionH relativeFrom="margin">
              <wp:posOffset>4601210</wp:posOffset>
            </wp:positionH>
            <wp:positionV relativeFrom="paragraph">
              <wp:posOffset>1417955</wp:posOffset>
            </wp:positionV>
            <wp:extent cx="1236345" cy="553085"/>
            <wp:effectExtent l="0" t="0" r="1905" b="0"/>
            <wp:wrapNone/>
            <wp:docPr id="9" name="Picture 9" descr="Coronavirus: Informationen für Pädagogen · Lehrer weltw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irus: Informationen für Pädagogen · Lehrer weltwe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/>
        </w:rPr>
        <w:drawing>
          <wp:anchor distT="0" distB="0" distL="114300" distR="114300" simplePos="0" relativeHeight="251665408" behindDoc="0" locked="0" layoutInCell="1" allowOverlap="1" wp14:anchorId="7F79BEBF" wp14:editId="1BCE5F44">
            <wp:simplePos x="0" y="0"/>
            <wp:positionH relativeFrom="margin">
              <wp:posOffset>107315</wp:posOffset>
            </wp:positionH>
            <wp:positionV relativeFrom="paragraph">
              <wp:posOffset>1401316</wp:posOffset>
            </wp:positionV>
            <wp:extent cx="3460750" cy="532130"/>
            <wp:effectExtent l="0" t="0" r="6350" b="1270"/>
            <wp:wrapTopAndBottom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75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364C0" w:rsidSect="00E66B7E">
      <w:pgSz w:w="12240" w:h="15840"/>
      <w:pgMar w:top="568" w:right="75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604"/>
    <w:multiLevelType w:val="hybridMultilevel"/>
    <w:tmpl w:val="E7A086EE"/>
    <w:lvl w:ilvl="0" w:tplc="24BA4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C45BC"/>
    <w:multiLevelType w:val="hybridMultilevel"/>
    <w:tmpl w:val="16A05FCA"/>
    <w:lvl w:ilvl="0" w:tplc="F2149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806252">
    <w:abstractNumId w:val="1"/>
  </w:num>
  <w:num w:numId="2" w16cid:durableId="152065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2E"/>
    <w:rsid w:val="0000392E"/>
    <w:rsid w:val="00006446"/>
    <w:rsid w:val="00067646"/>
    <w:rsid w:val="000E2BFA"/>
    <w:rsid w:val="001D27E8"/>
    <w:rsid w:val="00302ED3"/>
    <w:rsid w:val="003118AE"/>
    <w:rsid w:val="00353C18"/>
    <w:rsid w:val="00380932"/>
    <w:rsid w:val="00450CBE"/>
    <w:rsid w:val="00460562"/>
    <w:rsid w:val="004A6E2B"/>
    <w:rsid w:val="0055469F"/>
    <w:rsid w:val="0056632C"/>
    <w:rsid w:val="006B17C7"/>
    <w:rsid w:val="0079416A"/>
    <w:rsid w:val="007B68C3"/>
    <w:rsid w:val="007D1CE9"/>
    <w:rsid w:val="00855431"/>
    <w:rsid w:val="00872F74"/>
    <w:rsid w:val="00962436"/>
    <w:rsid w:val="00A45F88"/>
    <w:rsid w:val="00AC2AFC"/>
    <w:rsid w:val="00AD4F4C"/>
    <w:rsid w:val="00AE7AE4"/>
    <w:rsid w:val="00B868CA"/>
    <w:rsid w:val="00C25C7A"/>
    <w:rsid w:val="00C7555D"/>
    <w:rsid w:val="00C82A10"/>
    <w:rsid w:val="00D70734"/>
    <w:rsid w:val="00E364C0"/>
    <w:rsid w:val="00E66B7E"/>
    <w:rsid w:val="00EB20AF"/>
    <w:rsid w:val="00EE0AB8"/>
    <w:rsid w:val="00F2756B"/>
    <w:rsid w:val="00F3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F63F"/>
  <w15:chartTrackingRefBased/>
  <w15:docId w15:val="{2970089A-6E0B-4F73-A0BB-8CA1D30C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1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9B4E-1635-402F-92D6-7B3283BD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 Caroline</dc:creator>
  <cp:keywords/>
  <dc:description/>
  <cp:lastModifiedBy>Houda Benali Gauthier</cp:lastModifiedBy>
  <cp:revision>15</cp:revision>
  <cp:lastPrinted>2023-03-13T18:28:00Z</cp:lastPrinted>
  <dcterms:created xsi:type="dcterms:W3CDTF">2023-03-10T15:24:00Z</dcterms:created>
  <dcterms:modified xsi:type="dcterms:W3CDTF">2023-03-17T15:23:00Z</dcterms:modified>
</cp:coreProperties>
</file>